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1161-2003/2026</w:t>
      </w:r>
    </w:p>
    <w:p>
      <w:pPr>
        <w:widowControl w:val="0"/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86MS0039-01-2026-001926-38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мая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№4 Нефтеюганского судебного района Ханты-Мансийского автономного округа - Югры Т.П. Постовалова, </w:t>
      </w:r>
      <w:r>
        <w:rPr>
          <w:rFonts w:ascii="Times New Roman" w:eastAsia="Times New Roman" w:hAnsi="Times New Roman" w:cs="Times New Roman"/>
          <w:sz w:val="27"/>
          <w:szCs w:val="27"/>
        </w:rPr>
        <w:t>исполняющая обязанности мирового судьи судебного участка №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судебного района Ханты-Мансийского автономного округа - Югры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>помощнике судьи Седых А.В.,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7"/>
          <w:szCs w:val="27"/>
        </w:rPr>
        <w:t>Пылыпюк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Ярославу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Андреевичу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неустойки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ст. 194-199 Гражданского процессуального кодекса Российской Федерации,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Исковые требования департамента муниципального имущества администрации города Нефтеюганска удовлетворить частично.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Пылыпюк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Ярослава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Андреевича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2rplc-1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6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в пользу департамента муниципального имущества администрации города Нефтеюганска (ИНН </w:t>
      </w:r>
      <w:r>
        <w:rPr>
          <w:rFonts w:ascii="Times New Roman" w:eastAsia="Times New Roman" w:hAnsi="Times New Roman" w:cs="Times New Roman"/>
          <w:sz w:val="27"/>
          <w:szCs w:val="27"/>
        </w:rPr>
        <w:t>8604029014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неустойку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27 января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01 марта 2024 года в сумме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 рублей.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десяти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дней со дня поступления от лиц, участвующих в деле, их представителей соответствующего заявления.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апелляционном порядке в течение месяца со дня принятия решения в окончательной форме в Нефтеюганский районный суд Ханты-Мансийского автономного округа-Югры, через мирового судью, вынесшего решение.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4">
    <w:name w:val="cat-PassportData grp-12 rplc-14"/>
    <w:basedOn w:val="DefaultParagraphFont"/>
  </w:style>
  <w:style w:type="character" w:customStyle="1" w:styleId="cat-ExternalSystemDefinedgrp-16rplc-15">
    <w:name w:val="cat-ExternalSystemDefined grp-16 rplc-15"/>
    <w:basedOn w:val="DefaultParagraphFont"/>
  </w:style>
  <w:style w:type="character" w:customStyle="1" w:styleId="cat-ExternalSystemDefinedgrp-15rplc-16">
    <w:name w:val="cat-ExternalSystemDefined grp-15 rplc-16"/>
    <w:basedOn w:val="DefaultParagraphFont"/>
  </w:style>
  <w:style w:type="character" w:customStyle="1" w:styleId="cat-UserDefinedgrp-17rplc-21">
    <w:name w:val="cat-UserDefined grp-17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